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755E" w14:textId="77777777" w:rsidR="0022311D" w:rsidRDefault="00136AB3">
      <w:pPr>
        <w:jc w:val="right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  <w:lang w:val="en-GB"/>
        </w:rPr>
        <w:drawing>
          <wp:inline distT="114300" distB="114300" distL="114300" distR="114300" wp14:anchorId="2046E80E" wp14:editId="5B41148F">
            <wp:extent cx="1177327" cy="11191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327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E09507" w14:textId="77777777" w:rsidR="0022311D" w:rsidRPr="0083710C" w:rsidRDefault="0022311D">
      <w:pPr>
        <w:rPr>
          <w:rFonts w:ascii="Gill Sans MT" w:eastAsia="Calibri" w:hAnsi="Gill Sans MT" w:cs="Calibri"/>
          <w:bCs/>
        </w:rPr>
      </w:pPr>
    </w:p>
    <w:p w14:paraId="5FC20D60" w14:textId="1995CB2B" w:rsidR="0022311D" w:rsidRPr="00360DA6" w:rsidRDefault="00136AB3">
      <w:pPr>
        <w:jc w:val="center"/>
        <w:rPr>
          <w:rFonts w:ascii="Gill Sans MT" w:eastAsia="Calibri" w:hAnsi="Gill Sans MT" w:cs="Calibri"/>
          <w:b/>
          <w:sz w:val="32"/>
          <w:szCs w:val="32"/>
        </w:rPr>
      </w:pPr>
      <w:r w:rsidRPr="00360DA6">
        <w:rPr>
          <w:rFonts w:ascii="Gill Sans MT" w:eastAsia="Calibri" w:hAnsi="Gill Sans MT" w:cs="Calibri"/>
          <w:b/>
          <w:sz w:val="32"/>
          <w:szCs w:val="32"/>
        </w:rPr>
        <w:t>Pre</w:t>
      </w:r>
      <w:r w:rsidR="00705219">
        <w:rPr>
          <w:rFonts w:ascii="Gill Sans MT" w:eastAsia="Calibri" w:hAnsi="Gill Sans MT" w:cs="Calibri"/>
          <w:b/>
          <w:sz w:val="32"/>
          <w:szCs w:val="32"/>
        </w:rPr>
        <w:t>-</w:t>
      </w:r>
      <w:r w:rsidRPr="00360DA6">
        <w:rPr>
          <w:rFonts w:ascii="Gill Sans MT" w:eastAsia="Calibri" w:hAnsi="Gill Sans MT" w:cs="Calibri"/>
          <w:b/>
          <w:sz w:val="32"/>
          <w:szCs w:val="32"/>
        </w:rPr>
        <w:t>Series Checklist</w:t>
      </w:r>
    </w:p>
    <w:p w14:paraId="328801EE" w14:textId="77777777" w:rsidR="0022311D" w:rsidRDefault="0022311D">
      <w:pPr>
        <w:rPr>
          <w:rFonts w:ascii="Gill Sans MT" w:eastAsia="Calibri" w:hAnsi="Gill Sans MT" w:cs="Calibri"/>
        </w:rPr>
      </w:pPr>
    </w:p>
    <w:p w14:paraId="26BECA13" w14:textId="39B53DE7" w:rsidR="00E347B0" w:rsidRDefault="00404A28">
      <w:pPr>
        <w:rPr>
          <w:rFonts w:ascii="Gill Sans MT" w:eastAsia="Calibri" w:hAnsi="Gill Sans MT" w:cs="Calibri"/>
        </w:rPr>
      </w:pPr>
      <w:r w:rsidRPr="00B80130">
        <w:rPr>
          <w:rFonts w:ascii="Gill Sans MT" w:eastAsia="Calibri" w:hAnsi="Gill Sans MT" w:cs="Calibri"/>
        </w:rPr>
        <w:t>This checklist has been designed to help you prepare for examinations within your centre</w:t>
      </w:r>
      <w:r w:rsidR="00333EE1">
        <w:rPr>
          <w:rFonts w:ascii="Gill Sans MT" w:eastAsia="Calibri" w:hAnsi="Gill Sans MT" w:cs="Calibri"/>
        </w:rPr>
        <w:t>.  I</w:t>
      </w:r>
      <w:r w:rsidRPr="00B80130">
        <w:rPr>
          <w:rFonts w:ascii="Gill Sans MT" w:eastAsia="Calibri" w:hAnsi="Gill Sans MT" w:cs="Calibri"/>
        </w:rPr>
        <w:t xml:space="preserve">t is not an exhaustive list of tasks.  </w:t>
      </w:r>
      <w:r w:rsidR="00E347B0" w:rsidRPr="00B80130">
        <w:rPr>
          <w:rFonts w:ascii="Gill Sans MT" w:eastAsia="Calibri" w:hAnsi="Gill Sans MT" w:cs="Calibri"/>
        </w:rPr>
        <w:t>Exam Officers may add additional tasks which are relevant to their centre.</w:t>
      </w:r>
    </w:p>
    <w:p w14:paraId="005B00BD" w14:textId="77777777" w:rsidR="00E347B0" w:rsidRPr="00360DA6" w:rsidRDefault="00E347B0">
      <w:pPr>
        <w:rPr>
          <w:rFonts w:ascii="Gill Sans MT" w:eastAsia="Calibri" w:hAnsi="Gill Sans MT" w:cs="Calibri"/>
        </w:rPr>
      </w:pPr>
    </w:p>
    <w:tbl>
      <w:tblPr>
        <w:tblStyle w:val="a"/>
        <w:tblW w:w="1009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0"/>
        <w:gridCol w:w="2115"/>
      </w:tblGrid>
      <w:tr w:rsidR="0022311D" w:rsidRPr="00360DA6" w14:paraId="102B7B90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113A" w14:textId="77777777" w:rsidR="0022311D" w:rsidRPr="00360DA6" w:rsidRDefault="00136AB3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sz w:val="24"/>
                <w:szCs w:val="24"/>
              </w:rPr>
            </w:pPr>
            <w:r w:rsidRPr="00360DA6">
              <w:rPr>
                <w:rFonts w:ascii="Gill Sans MT" w:eastAsia="Calibri" w:hAnsi="Gill Sans MT"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AB40" w14:textId="77777777" w:rsidR="0022311D" w:rsidRPr="00360DA6" w:rsidRDefault="00136AB3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sz w:val="24"/>
                <w:szCs w:val="24"/>
              </w:rPr>
            </w:pPr>
            <w:r w:rsidRPr="00360DA6">
              <w:rPr>
                <w:rFonts w:ascii="Gill Sans MT" w:eastAsia="Calibri" w:hAnsi="Gill Sans MT" w:cs="Calibri"/>
                <w:b/>
                <w:sz w:val="24"/>
                <w:szCs w:val="24"/>
              </w:rPr>
              <w:t>Complete?</w:t>
            </w:r>
          </w:p>
        </w:tc>
      </w:tr>
      <w:tr w:rsidR="0022311D" w:rsidRPr="00360DA6" w14:paraId="7EE02C90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F776" w14:textId="5E7B401B" w:rsidR="0022311D" w:rsidRPr="00404A28" w:rsidRDefault="00360DA6" w:rsidP="006A6592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>M</w:t>
            </w:r>
            <w:r w:rsidR="00136AB3" w:rsidRPr="00404A28">
              <w:rPr>
                <w:rFonts w:ascii="Gill Sans MT" w:eastAsia="Open Sans" w:hAnsi="Gill Sans MT" w:cs="Open Sans"/>
                <w:color w:val="222222"/>
              </w:rPr>
              <w:t>odified papers have been ordere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>d by the published JCQ deadline</w:t>
            </w:r>
            <w:r w:rsidR="006A6592" w:rsidRPr="00404A28">
              <w:rPr>
                <w:rFonts w:ascii="Gill Sans MT" w:eastAsia="Open Sans" w:hAnsi="Gill Sans MT" w:cs="Open Sans"/>
                <w:color w:val="222222"/>
              </w:rPr>
              <w:t xml:space="preserve"> for the relevant series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53E5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1C363031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8F3D" w14:textId="6CD6D533" w:rsidR="0022311D" w:rsidRPr="00404A28" w:rsidRDefault="005B52A8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>Provision has been made for candidates requiring access arrangements, such as appropriate accommodation, sufficient computer readers</w:t>
            </w:r>
            <w:r w:rsidR="00360DA6" w:rsidRPr="00404A28">
              <w:rPr>
                <w:rFonts w:ascii="Gill Sans MT" w:eastAsia="Open Sans" w:hAnsi="Gill Sans MT" w:cs="Open Sans"/>
                <w:color w:val="222222"/>
              </w:rPr>
              <w:t>, prompters,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 xml:space="preserve"> </w:t>
            </w:r>
            <w:r w:rsidR="00360DA6" w:rsidRPr="00404A28">
              <w:rPr>
                <w:rFonts w:ascii="Gill Sans MT" w:eastAsia="Open Sans" w:hAnsi="Gill Sans MT" w:cs="Open Sans"/>
                <w:color w:val="222222"/>
              </w:rPr>
              <w:t xml:space="preserve">readers, scribes 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>and word processors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0BFA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7C903CBC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8E62" w14:textId="08BE09EE" w:rsidR="0022311D" w:rsidRPr="00404A28" w:rsidRDefault="00360D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>E</w:t>
            </w:r>
            <w:r w:rsidR="00136AB3" w:rsidRPr="00404A28">
              <w:rPr>
                <w:rFonts w:ascii="Gill Sans MT" w:eastAsia="Open Sans" w:hAnsi="Gill Sans MT" w:cs="Open Sans"/>
                <w:color w:val="222222"/>
              </w:rPr>
              <w:t>ntries have been made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>, checked</w:t>
            </w:r>
            <w:r w:rsidR="00136AB3" w:rsidRPr="00404A28">
              <w:rPr>
                <w:rFonts w:ascii="Gill Sans MT" w:eastAsia="Open Sans" w:hAnsi="Gill Sans MT" w:cs="Open Sans"/>
                <w:color w:val="222222"/>
              </w:rPr>
              <w:t xml:space="preserve"> and are 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 xml:space="preserve">all </w:t>
            </w:r>
            <w:r w:rsidR="00136AB3" w:rsidRPr="00404A28">
              <w:rPr>
                <w:rFonts w:ascii="Gill Sans MT" w:eastAsia="Open Sans" w:hAnsi="Gill Sans MT" w:cs="Open Sans"/>
                <w:color w:val="222222"/>
              </w:rPr>
              <w:t>correct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237C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6A6592" w:rsidRPr="00360DA6" w14:paraId="2E9EBEC0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FFB1" w14:textId="7D8FA16F" w:rsidR="006A6592" w:rsidRPr="00404A28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>Applications for transferred candidate arrangements have been processed by the published JCQ deadline for the relevant series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0BD5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31F7F1E5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9375" w14:textId="6E110372" w:rsidR="0022311D" w:rsidRPr="00404A28" w:rsidRDefault="00360D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>C</w:t>
            </w:r>
            <w:r w:rsidR="00136AB3" w:rsidRPr="00404A28">
              <w:rPr>
                <w:rFonts w:ascii="Gill Sans MT" w:eastAsia="Open Sans" w:hAnsi="Gill Sans MT" w:cs="Open Sans"/>
                <w:color w:val="222222"/>
              </w:rPr>
              <w:t>andidates have been issued with up</w:t>
            </w:r>
            <w:r w:rsidR="00911C09">
              <w:rPr>
                <w:rFonts w:ascii="Gill Sans MT" w:eastAsia="Open Sans" w:hAnsi="Gill Sans MT" w:cs="Open Sans"/>
                <w:color w:val="222222"/>
              </w:rPr>
              <w:t>-</w:t>
            </w:r>
            <w:r w:rsidR="00136AB3" w:rsidRPr="00404A28">
              <w:rPr>
                <w:rFonts w:ascii="Gill Sans MT" w:eastAsia="Open Sans" w:hAnsi="Gill Sans MT" w:cs="Open Sans"/>
                <w:color w:val="222222"/>
              </w:rPr>
              <w:t>to</w:t>
            </w:r>
            <w:r w:rsidR="00911C09">
              <w:rPr>
                <w:rFonts w:ascii="Gill Sans MT" w:eastAsia="Open Sans" w:hAnsi="Gill Sans MT" w:cs="Open Sans"/>
                <w:color w:val="222222"/>
              </w:rPr>
              <w:t>-</w:t>
            </w:r>
            <w:r w:rsidR="00136AB3" w:rsidRPr="00404A28">
              <w:rPr>
                <w:rFonts w:ascii="Gill Sans MT" w:eastAsia="Open Sans" w:hAnsi="Gill Sans MT" w:cs="Open Sans"/>
                <w:color w:val="222222"/>
              </w:rPr>
              <w:t>date and accurate timetables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C2D3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360DA6" w:rsidRPr="00360DA6" w14:paraId="30EEE671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9E7C" w14:textId="1A7665A7" w:rsidR="00360DA6" w:rsidRPr="00404A28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>T</w:t>
            </w:r>
            <w:r w:rsidR="00360DA6" w:rsidRPr="00404A28">
              <w:rPr>
                <w:rFonts w:ascii="Gill Sans MT" w:eastAsia="Open Sans" w:hAnsi="Gill Sans MT" w:cs="Open Sans"/>
                <w:color w:val="222222"/>
              </w:rPr>
              <w:t>imetable clashes have been identified and resolved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A8AE" w14:textId="77777777" w:rsidR="00360DA6" w:rsidRPr="00360DA6" w:rsidRDefault="00360DA6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0CE01551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3E9D" w14:textId="4B2665F9" w:rsidR="0022311D" w:rsidRPr="00404A28" w:rsidRDefault="00136AB3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 xml:space="preserve">Seating plans for each examination have been </w:t>
            </w:r>
            <w:r w:rsidR="00360DA6" w:rsidRPr="00404A28">
              <w:rPr>
                <w:rFonts w:ascii="Gill Sans MT" w:eastAsia="Open Sans" w:hAnsi="Gill Sans MT" w:cs="Open Sans"/>
                <w:color w:val="222222"/>
              </w:rPr>
              <w:t>produced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E467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05362866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8C5C" w14:textId="1B22E50A" w:rsidR="0022311D" w:rsidRPr="00404A28" w:rsidRDefault="00360D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>S</w:t>
            </w:r>
            <w:r w:rsidR="00A925F0" w:rsidRPr="00404A28">
              <w:rPr>
                <w:rFonts w:ascii="Gill Sans MT" w:eastAsia="Open Sans" w:hAnsi="Gill Sans MT" w:cs="Open Sans"/>
                <w:color w:val="222222"/>
              </w:rPr>
              <w:t xml:space="preserve">taff 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with 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>approved a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>ccess to the centre’s secure storage facility</w:t>
            </w:r>
            <w:r w:rsidR="006A6592" w:rsidRPr="00404A28">
              <w:rPr>
                <w:rFonts w:ascii="Gill Sans MT" w:eastAsia="Open Sans" w:hAnsi="Gill Sans MT" w:cs="Open Sans"/>
                <w:color w:val="222222"/>
              </w:rPr>
              <w:t>, e.g. safe or security cabinet,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 are fully aware of the protocol for logging,</w:t>
            </w:r>
            <w:r w:rsidR="00136AB3" w:rsidRPr="00404A28">
              <w:rPr>
                <w:rFonts w:ascii="Gill Sans MT" w:eastAsia="Open Sans" w:hAnsi="Gill Sans MT" w:cs="Open Sans"/>
                <w:color w:val="222222"/>
              </w:rPr>
              <w:t xml:space="preserve"> handling and transferring secure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 and confidential materials to the secure storage facility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6748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5A2DF351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9279" w14:textId="1DBE2474" w:rsidR="00453BAA" w:rsidRPr="00453BAA" w:rsidRDefault="00360DA6" w:rsidP="00911C09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highlight w:val="white"/>
              </w:rPr>
            </w:pPr>
            <w:r>
              <w:rPr>
                <w:rFonts w:ascii="Gill Sans MT" w:eastAsia="Open Sans" w:hAnsi="Gill Sans MT" w:cs="Open Sans"/>
                <w:color w:val="222222"/>
                <w:highlight w:val="white"/>
              </w:rPr>
              <w:t>S</w:t>
            </w:r>
            <w:r w:rsidR="005B52A8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ecure materials 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>received</w:t>
            </w:r>
            <w:r w:rsidR="005B52A8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have been checked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against your </w:t>
            </w:r>
            <w:r w:rsidR="00136AB3" w:rsidRPr="001D749D">
              <w:rPr>
                <w:rFonts w:ascii="Gill Sans MT" w:eastAsia="Open Sans" w:hAnsi="Gill Sans MT" w:cs="Open Sans"/>
                <w:color w:val="222222"/>
              </w:rPr>
              <w:t>centre</w:t>
            </w:r>
            <w:r w:rsidR="002C00FA" w:rsidRPr="001D749D">
              <w:rPr>
                <w:rFonts w:ascii="Gill Sans MT" w:eastAsia="Open Sans" w:hAnsi="Gill Sans MT" w:cs="Open Sans"/>
                <w:color w:val="222222"/>
              </w:rPr>
              <w:t xml:space="preserve"> timetable </w:t>
            </w:r>
            <w:r w:rsidR="002C00FA">
              <w:rPr>
                <w:rFonts w:ascii="Gill Sans MT" w:eastAsia="Open Sans" w:hAnsi="Gill Sans MT" w:cs="Open Sans"/>
                <w:color w:val="222222"/>
                <w:highlight w:val="white"/>
              </w:rPr>
              <w:t>or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entries</w:t>
            </w:r>
            <w:r w:rsidR="005363CF">
              <w:rPr>
                <w:rFonts w:ascii="Gill Sans MT" w:eastAsia="Open Sans" w:hAnsi="Gill Sans MT" w:cs="Open Sans"/>
                <w:color w:val="222222"/>
                <w:highlight w:val="white"/>
              </w:rPr>
              <w:t>.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</w:t>
            </w:r>
            <w:r w:rsidR="00106CE9">
              <w:rPr>
                <w:rFonts w:ascii="Gill Sans MT" w:eastAsia="Open Sans" w:hAnsi="Gill Sans MT" w:cs="Open Sans"/>
                <w:color w:val="222222"/>
                <w:highlight w:val="white"/>
              </w:rPr>
              <w:br/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>(</w:t>
            </w:r>
            <w:r w:rsidR="005363CF">
              <w:rPr>
                <w:rFonts w:ascii="Gill Sans MT" w:eastAsia="Open Sans" w:hAnsi="Gill Sans MT" w:cs="Open Sans"/>
                <w:color w:val="222222"/>
                <w:highlight w:val="white"/>
              </w:rPr>
              <w:t>I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f </w:t>
            </w:r>
            <w:r>
              <w:rPr>
                <w:rFonts w:ascii="Gill Sans MT" w:eastAsia="Open Sans" w:hAnsi="Gill Sans MT" w:cs="Open Sans"/>
                <w:color w:val="222222"/>
                <w:highlight w:val="white"/>
              </w:rPr>
              <w:t>there are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any</w:t>
            </w:r>
            <w:r w:rsidR="005B52A8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materials </w:t>
            </w:r>
            <w:r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which </w:t>
            </w:r>
            <w:r w:rsidR="005B52A8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are missing, or 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>you have received materials that you should</w:t>
            </w:r>
            <w:r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>n</w:t>
            </w:r>
            <w:r>
              <w:rPr>
                <w:rFonts w:ascii="Gill Sans MT" w:eastAsia="Open Sans" w:hAnsi="Gill Sans MT" w:cs="Open Sans"/>
                <w:color w:val="222222"/>
                <w:highlight w:val="white"/>
              </w:rPr>
              <w:t>o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>t have</w:t>
            </w:r>
            <w:r w:rsidR="005B52A8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>,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you </w:t>
            </w:r>
            <w:r w:rsidR="00136AB3" w:rsidRPr="00360DA6">
              <w:rPr>
                <w:rFonts w:ascii="Gill Sans MT" w:eastAsia="Open Sans" w:hAnsi="Gill Sans MT" w:cs="Open Sans"/>
                <w:b/>
                <w:color w:val="222222"/>
                <w:highlight w:val="white"/>
              </w:rPr>
              <w:t>must</w:t>
            </w:r>
            <w:r w:rsidR="005B52A8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contact the relevant awarding body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 xml:space="preserve"> </w:t>
            </w:r>
            <w:r w:rsidR="00136AB3" w:rsidRPr="00360DA6">
              <w:rPr>
                <w:rFonts w:ascii="Gill Sans MT" w:eastAsia="Open Sans" w:hAnsi="Gill Sans MT" w:cs="Open Sans"/>
                <w:b/>
                <w:color w:val="222222"/>
                <w:highlight w:val="white"/>
              </w:rPr>
              <w:t>immediately</w:t>
            </w:r>
            <w:r w:rsidR="00AA4422">
              <w:rPr>
                <w:rFonts w:ascii="Gill Sans MT" w:eastAsia="Open Sans" w:hAnsi="Gill Sans MT" w:cs="Open Sans"/>
                <w:b/>
                <w:color w:val="222222"/>
                <w:highlight w:val="white"/>
              </w:rPr>
              <w:t>.</w:t>
            </w:r>
            <w:r w:rsidR="00136AB3" w:rsidRPr="00360DA6">
              <w:rPr>
                <w:rFonts w:ascii="Gill Sans MT" w:eastAsia="Open Sans" w:hAnsi="Gill Sans MT" w:cs="Open Sans"/>
                <w:color w:val="222222"/>
                <w:highlight w:val="white"/>
              </w:rPr>
              <w:t>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CF07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153F2383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57F9" w14:textId="798F9D54" w:rsidR="0022311D" w:rsidRPr="00404A28" w:rsidRDefault="00136AB3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lastRenderedPageBreak/>
              <w:t xml:space="preserve">Question paper packets have been filed in </w:t>
            </w:r>
            <w:r w:rsidR="006A6592" w:rsidRPr="00404A28">
              <w:rPr>
                <w:rFonts w:ascii="Gill Sans MT" w:eastAsia="Open Sans" w:hAnsi="Gill Sans MT" w:cs="Open Sans"/>
                <w:color w:val="222222"/>
              </w:rPr>
              <w:t>timetable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 xml:space="preserve"> date order within your secure storage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 facility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B45D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79AFD459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1642" w14:textId="15939E72" w:rsidR="0022311D" w:rsidRPr="00404A28" w:rsidRDefault="00360D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>I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nvigilators and members of 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 xml:space="preserve">centre 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staff </w:t>
            </w:r>
            <w:r w:rsidR="00136AB3" w:rsidRPr="00404A28">
              <w:rPr>
                <w:rFonts w:ascii="Gill Sans MT" w:eastAsia="Open Sans" w:hAnsi="Gill Sans MT" w:cs="Open Sans"/>
                <w:color w:val="222222"/>
              </w:rPr>
              <w:t xml:space="preserve">facilitating access arrangements have been appropriately trained in their duties 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>and are fully aware of the</w:t>
            </w:r>
            <w:r w:rsidR="006A6592" w:rsidRPr="00404A28">
              <w:rPr>
                <w:rFonts w:ascii="Gill Sans MT" w:eastAsia="Open Sans" w:hAnsi="Gill Sans MT" w:cs="Open Sans"/>
                <w:color w:val="222222"/>
              </w:rPr>
              <w:t xml:space="preserve"> relevant JCQ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 regulations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A843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603F2804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5B82" w14:textId="334883F2" w:rsidR="0022311D" w:rsidRPr="00404A28" w:rsidRDefault="00136AB3" w:rsidP="005B52A8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>Staff managing the supervision of any candidates with timetable variations have been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 appropriately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 xml:space="preserve"> trained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 in their duties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 xml:space="preserve"> and are fully aware of the </w:t>
            </w:r>
            <w:r w:rsidR="006A6592" w:rsidRPr="00404A28">
              <w:rPr>
                <w:rFonts w:ascii="Gill Sans MT" w:eastAsia="Open Sans" w:hAnsi="Gill Sans MT" w:cs="Open Sans"/>
                <w:color w:val="222222"/>
              </w:rPr>
              <w:t xml:space="preserve">‘ICE’ 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>regulations</w:t>
            </w:r>
            <w:r w:rsidR="00A925F0" w:rsidRPr="00404A28">
              <w:rPr>
                <w:rFonts w:ascii="Gill Sans MT" w:eastAsia="Open Sans" w:hAnsi="Gill Sans MT" w:cs="Open Sans"/>
                <w:color w:val="222222"/>
              </w:rPr>
              <w:t xml:space="preserve"> and their responsibilities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69C2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7605C79E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E9" w14:textId="7FFA9A86" w:rsidR="0022311D" w:rsidRPr="00404A28" w:rsidRDefault="00136AB3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</w:rPr>
              <w:t xml:space="preserve">Appropriate accommodation for candidates under </w:t>
            </w:r>
            <w:r w:rsidR="005B52A8" w:rsidRPr="00404A28">
              <w:rPr>
                <w:rFonts w:ascii="Gill Sans MT" w:eastAsia="Open Sans" w:hAnsi="Gill Sans MT" w:cs="Open Sans"/>
                <w:color w:val="222222"/>
              </w:rPr>
              <w:t xml:space="preserve">centre supervision between exams </w:t>
            </w:r>
            <w:r w:rsidRPr="00404A28">
              <w:rPr>
                <w:rFonts w:ascii="Gill Sans MT" w:eastAsia="Open Sans" w:hAnsi="Gill Sans MT" w:cs="Open Sans"/>
                <w:color w:val="222222"/>
              </w:rPr>
              <w:t>has been identified</w:t>
            </w:r>
            <w:r w:rsidR="00D97482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4757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76FB41B7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F1B5" w14:textId="7A568A5A" w:rsidR="0022311D" w:rsidRPr="001D749D" w:rsidRDefault="006A6592" w:rsidP="006A6592">
            <w:pPr>
              <w:numPr>
                <w:ilvl w:val="0"/>
                <w:numId w:val="1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1D749D">
              <w:rPr>
                <w:rFonts w:ascii="Gill Sans MT" w:eastAsia="Open Sans" w:hAnsi="Gill Sans MT" w:cs="Open Sans"/>
                <w:color w:val="222222"/>
              </w:rPr>
              <w:t>All relevant staff</w:t>
            </w:r>
            <w:r w:rsidR="005B52A8" w:rsidRPr="001D749D">
              <w:rPr>
                <w:rFonts w:ascii="Gill Sans MT" w:eastAsia="Open Sans" w:hAnsi="Gill Sans MT" w:cs="Open Sans"/>
                <w:color w:val="222222"/>
              </w:rPr>
              <w:t xml:space="preserve"> have read the </w:t>
            </w:r>
            <w:r w:rsidR="005B52A8" w:rsidRPr="007014F6">
              <w:rPr>
                <w:rFonts w:ascii="Gill Sans MT" w:eastAsia="Open Sans" w:hAnsi="Gill Sans MT" w:cs="Open Sans"/>
                <w:color w:val="222222"/>
              </w:rPr>
              <w:t>20</w:t>
            </w:r>
            <w:r w:rsidR="009C4F96" w:rsidRPr="007014F6">
              <w:rPr>
                <w:rFonts w:ascii="Gill Sans MT" w:eastAsia="Open Sans" w:hAnsi="Gill Sans MT" w:cs="Open Sans"/>
                <w:color w:val="222222"/>
              </w:rPr>
              <w:t>2</w:t>
            </w:r>
            <w:r w:rsidR="0083710C" w:rsidRPr="007014F6">
              <w:rPr>
                <w:rFonts w:ascii="Gill Sans MT" w:eastAsia="Open Sans" w:hAnsi="Gill Sans MT" w:cs="Open Sans"/>
                <w:color w:val="222222"/>
              </w:rPr>
              <w:t>1</w:t>
            </w:r>
            <w:r w:rsidR="005B52A8" w:rsidRPr="007014F6">
              <w:rPr>
                <w:rFonts w:ascii="Gill Sans MT" w:eastAsia="Open Sans" w:hAnsi="Gill Sans MT" w:cs="Open Sans"/>
                <w:color w:val="222222"/>
              </w:rPr>
              <w:t>/</w:t>
            </w:r>
            <w:r w:rsidR="009C4F96" w:rsidRPr="007014F6">
              <w:rPr>
                <w:rFonts w:ascii="Gill Sans MT" w:eastAsia="Open Sans" w:hAnsi="Gill Sans MT" w:cs="Open Sans"/>
                <w:color w:val="222222"/>
              </w:rPr>
              <w:t>2</w:t>
            </w:r>
            <w:r w:rsidR="0083710C" w:rsidRPr="007014F6">
              <w:rPr>
                <w:rFonts w:ascii="Gill Sans MT" w:eastAsia="Open Sans" w:hAnsi="Gill Sans MT" w:cs="Open Sans"/>
                <w:color w:val="222222"/>
              </w:rPr>
              <w:t>2</w:t>
            </w:r>
            <w:r w:rsidR="005B52A8" w:rsidRPr="001D749D">
              <w:rPr>
                <w:rFonts w:ascii="Gill Sans MT" w:eastAsia="Open Sans" w:hAnsi="Gill Sans MT" w:cs="Open Sans"/>
                <w:color w:val="222222"/>
              </w:rPr>
              <w:t xml:space="preserve"> </w:t>
            </w:r>
            <w:r w:rsidR="00136AB3" w:rsidRPr="001D749D">
              <w:rPr>
                <w:rFonts w:ascii="Gill Sans MT" w:eastAsia="Open Sans" w:hAnsi="Gill Sans MT" w:cs="Open Sans"/>
                <w:color w:val="222222"/>
              </w:rPr>
              <w:t xml:space="preserve">version of </w:t>
            </w:r>
            <w:r w:rsidR="005B52A8" w:rsidRPr="001D749D">
              <w:rPr>
                <w:rFonts w:ascii="Gill Sans MT" w:eastAsia="Open Sans" w:hAnsi="Gill Sans MT" w:cs="Open Sans"/>
                <w:color w:val="222222"/>
              </w:rPr>
              <w:t xml:space="preserve">the JCQ publication </w:t>
            </w:r>
            <w:r w:rsidR="005B52A8" w:rsidRPr="001D749D">
              <w:rPr>
                <w:rFonts w:ascii="Gill Sans MT" w:eastAsia="Open Sans" w:hAnsi="Gill Sans MT" w:cs="Open Sans"/>
                <w:i/>
                <w:color w:val="222222"/>
              </w:rPr>
              <w:t>Instructions</w:t>
            </w:r>
            <w:r w:rsidR="00A925F0" w:rsidRPr="001D749D">
              <w:rPr>
                <w:rFonts w:ascii="Gill Sans MT" w:eastAsia="Open Sans" w:hAnsi="Gill Sans MT" w:cs="Open Sans"/>
                <w:i/>
                <w:color w:val="222222"/>
              </w:rPr>
              <w:t xml:space="preserve"> for </w:t>
            </w:r>
            <w:r w:rsidR="002C00FA" w:rsidRPr="001D749D">
              <w:rPr>
                <w:rFonts w:ascii="Gill Sans MT" w:eastAsia="Open Sans" w:hAnsi="Gill Sans MT" w:cs="Open Sans"/>
                <w:i/>
                <w:color w:val="222222"/>
              </w:rPr>
              <w:t>c</w:t>
            </w:r>
            <w:r w:rsidR="00A925F0" w:rsidRPr="001D749D">
              <w:rPr>
                <w:rFonts w:ascii="Gill Sans MT" w:eastAsia="Open Sans" w:hAnsi="Gill Sans MT" w:cs="Open Sans"/>
                <w:i/>
                <w:color w:val="222222"/>
              </w:rPr>
              <w:t xml:space="preserve">onducting </w:t>
            </w:r>
            <w:r w:rsidR="002C00FA" w:rsidRPr="001D749D">
              <w:rPr>
                <w:rFonts w:ascii="Gill Sans MT" w:eastAsia="Open Sans" w:hAnsi="Gill Sans MT" w:cs="Open Sans"/>
                <w:i/>
                <w:color w:val="222222"/>
              </w:rPr>
              <w:t>e</w:t>
            </w:r>
            <w:r w:rsidR="00A925F0" w:rsidRPr="001D749D">
              <w:rPr>
                <w:rFonts w:ascii="Gill Sans MT" w:eastAsia="Open Sans" w:hAnsi="Gill Sans MT" w:cs="Open Sans"/>
                <w:i/>
                <w:color w:val="222222"/>
              </w:rPr>
              <w:t>xaminations</w:t>
            </w:r>
            <w:r w:rsidR="00A925F0" w:rsidRPr="001D749D">
              <w:rPr>
                <w:rFonts w:ascii="Gill Sans MT" w:eastAsia="Open Sans" w:hAnsi="Gill Sans MT" w:cs="Open Sans"/>
                <w:color w:val="222222"/>
              </w:rPr>
              <w:t xml:space="preserve"> </w:t>
            </w:r>
            <w:r w:rsidR="00136AB3" w:rsidRPr="001D749D">
              <w:rPr>
                <w:rFonts w:ascii="Gill Sans MT" w:eastAsia="Open Sans" w:hAnsi="Gill Sans MT" w:cs="Open Sans"/>
                <w:color w:val="222222"/>
              </w:rPr>
              <w:t>and understand any updates</w:t>
            </w:r>
            <w:r w:rsidR="00D97482" w:rsidRPr="001D749D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8997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239DDF6D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FDD9" w14:textId="3806E467" w:rsidR="0022311D" w:rsidRPr="001D749D" w:rsidRDefault="00136AB3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1D749D">
              <w:rPr>
                <w:rFonts w:ascii="Gill Sans MT" w:eastAsia="Open Sans" w:hAnsi="Gill Sans MT" w:cs="Open Sans"/>
                <w:color w:val="222222"/>
              </w:rPr>
              <w:t xml:space="preserve">You have an adequate supply of </w:t>
            </w:r>
            <w:r w:rsidR="005B52A8" w:rsidRPr="001D749D">
              <w:rPr>
                <w:rFonts w:ascii="Gill Sans MT" w:eastAsia="Open Sans" w:hAnsi="Gill Sans MT" w:cs="Open Sans"/>
                <w:color w:val="222222"/>
              </w:rPr>
              <w:t>examination stationery</w:t>
            </w:r>
            <w:r w:rsidRPr="001D749D">
              <w:rPr>
                <w:rFonts w:ascii="Gill Sans MT" w:eastAsia="Open Sans" w:hAnsi="Gill Sans MT" w:cs="Open Sans"/>
                <w:color w:val="222222"/>
              </w:rPr>
              <w:t xml:space="preserve"> (</w:t>
            </w:r>
            <w:r w:rsidR="005B52A8" w:rsidRPr="001D749D">
              <w:rPr>
                <w:rFonts w:ascii="Gill Sans MT" w:eastAsia="Open Sans" w:hAnsi="Gill Sans MT" w:cs="Open Sans"/>
                <w:color w:val="222222"/>
              </w:rPr>
              <w:t xml:space="preserve">e.g. </w:t>
            </w:r>
            <w:r w:rsidRPr="001D749D">
              <w:rPr>
                <w:rFonts w:ascii="Gill Sans MT" w:eastAsia="Open Sans" w:hAnsi="Gill Sans MT" w:cs="Open Sans"/>
                <w:color w:val="222222"/>
              </w:rPr>
              <w:t>generic answer booklets, cont</w:t>
            </w:r>
            <w:r w:rsidR="00E21646" w:rsidRPr="001D749D">
              <w:rPr>
                <w:rFonts w:ascii="Gill Sans MT" w:eastAsia="Open Sans" w:hAnsi="Gill Sans MT" w:cs="Open Sans"/>
                <w:color w:val="222222"/>
              </w:rPr>
              <w:t>inuation paper</w:t>
            </w:r>
            <w:r w:rsidR="00755EAB" w:rsidRPr="001D749D">
              <w:rPr>
                <w:rFonts w:ascii="Gill Sans MT" w:eastAsia="Open Sans" w:hAnsi="Gill Sans MT" w:cs="Open Sans"/>
                <w:color w:val="222222"/>
              </w:rPr>
              <w:t>)</w:t>
            </w:r>
            <w:r w:rsidR="00D97482" w:rsidRPr="001D749D">
              <w:rPr>
                <w:rFonts w:ascii="Gill Sans MT" w:eastAsia="Open Sans" w:hAnsi="Gill Sans MT" w:cs="Open Sans"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24C1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22311D" w:rsidRPr="00360DA6" w14:paraId="5F67FC51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0DDE" w14:textId="22892952" w:rsidR="0022311D" w:rsidRPr="001D749D" w:rsidRDefault="00360DA6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1D749D">
              <w:rPr>
                <w:rFonts w:ascii="Gill Sans MT" w:eastAsia="Open Sans" w:hAnsi="Gill Sans MT" w:cs="Open Sans"/>
                <w:color w:val="222222"/>
              </w:rPr>
              <w:t>C</w:t>
            </w:r>
            <w:r w:rsidR="00136AB3" w:rsidRPr="001D749D">
              <w:rPr>
                <w:rFonts w:ascii="Gill Sans MT" w:eastAsia="Open Sans" w:hAnsi="Gill Sans MT" w:cs="Open Sans"/>
                <w:color w:val="222222"/>
              </w:rPr>
              <w:t>andidates have been made aware of the regulations</w:t>
            </w:r>
            <w:r w:rsidR="008B5FD7" w:rsidRPr="001D749D">
              <w:rPr>
                <w:rFonts w:ascii="Gill Sans MT" w:eastAsia="Open Sans" w:hAnsi="Gill Sans MT" w:cs="Open Sans"/>
                <w:color w:val="222222"/>
              </w:rPr>
              <w:t xml:space="preserve"> forbidding the introduction of </w:t>
            </w:r>
            <w:r w:rsidR="00136AB3" w:rsidRPr="001D749D">
              <w:rPr>
                <w:rFonts w:ascii="Gill Sans MT" w:eastAsia="Open Sans" w:hAnsi="Gill Sans MT" w:cs="Open Sans"/>
                <w:color w:val="222222"/>
              </w:rPr>
              <w:t>unauthorised materials</w:t>
            </w:r>
            <w:r w:rsidR="003D725B">
              <w:rPr>
                <w:rFonts w:ascii="Gill Sans MT" w:eastAsia="Open Sans" w:hAnsi="Gill Sans MT" w:cs="Open Sans"/>
                <w:color w:val="222222"/>
              </w:rPr>
              <w:t xml:space="preserve">, </w:t>
            </w:r>
            <w:r w:rsidR="00136AB3" w:rsidRPr="001D749D">
              <w:rPr>
                <w:rFonts w:ascii="Gill Sans MT" w:eastAsia="Open Sans" w:hAnsi="Gill Sans MT" w:cs="Open Sans"/>
                <w:color w:val="222222"/>
              </w:rPr>
              <w:t>mobile phones/ele</w:t>
            </w:r>
            <w:r w:rsidR="005B52A8" w:rsidRPr="001D749D">
              <w:rPr>
                <w:rFonts w:ascii="Gill Sans MT" w:eastAsia="Open Sans" w:hAnsi="Gill Sans MT" w:cs="Open Sans"/>
                <w:color w:val="222222"/>
              </w:rPr>
              <w:t>ctronic devices</w:t>
            </w:r>
            <w:r w:rsidR="003D725B">
              <w:rPr>
                <w:rFonts w:ascii="Gill Sans MT" w:eastAsia="Open Sans" w:hAnsi="Gill Sans MT" w:cs="Open Sans"/>
                <w:color w:val="222222"/>
              </w:rPr>
              <w:t xml:space="preserve"> and watches</w:t>
            </w:r>
            <w:r w:rsidR="005B52A8" w:rsidRPr="001D749D">
              <w:rPr>
                <w:rFonts w:ascii="Gill Sans MT" w:eastAsia="Open Sans" w:hAnsi="Gill Sans MT" w:cs="Open Sans"/>
                <w:color w:val="222222"/>
              </w:rPr>
              <w:t xml:space="preserve"> into the exam room and the </w:t>
            </w:r>
            <w:r w:rsidR="00136AB3" w:rsidRPr="001D749D">
              <w:rPr>
                <w:rFonts w:ascii="Gill Sans MT" w:eastAsia="Open Sans" w:hAnsi="Gill Sans MT" w:cs="Open Sans"/>
                <w:color w:val="222222"/>
              </w:rPr>
              <w:t>potential repercussions of failing to comply with these</w:t>
            </w:r>
            <w:r w:rsidR="006A6592" w:rsidRPr="001D749D">
              <w:rPr>
                <w:rFonts w:ascii="Gill Sans MT" w:eastAsia="Open Sans" w:hAnsi="Gill Sans MT" w:cs="Open Sans"/>
                <w:color w:val="222222"/>
              </w:rPr>
              <w:t xml:space="preserve">.  Candidates </w:t>
            </w:r>
            <w:r w:rsidR="006A6592" w:rsidRPr="001D749D">
              <w:rPr>
                <w:rFonts w:ascii="Gill Sans MT" w:eastAsia="Open Sans" w:hAnsi="Gill Sans MT" w:cs="Open Sans"/>
                <w:b/>
                <w:color w:val="222222"/>
              </w:rPr>
              <w:t>must</w:t>
            </w:r>
            <w:r w:rsidR="006A6592" w:rsidRPr="001D749D">
              <w:rPr>
                <w:rFonts w:ascii="Gill Sans MT" w:eastAsia="Open Sans" w:hAnsi="Gill Sans MT" w:cs="Open Sans"/>
                <w:color w:val="222222"/>
              </w:rPr>
              <w:t xml:space="preserve"> have been issued with the </w:t>
            </w:r>
            <w:r w:rsidR="006A6592" w:rsidRPr="001D749D">
              <w:rPr>
                <w:rFonts w:ascii="Gill Sans MT" w:eastAsia="Open Sans" w:hAnsi="Gill Sans MT" w:cs="Open Sans"/>
                <w:i/>
                <w:color w:val="222222"/>
              </w:rPr>
              <w:t xml:space="preserve">Information for candidates </w:t>
            </w:r>
            <w:r w:rsidR="00835CB0" w:rsidRPr="001D749D">
              <w:rPr>
                <w:rFonts w:ascii="Gill Sans MT" w:eastAsia="Open Sans" w:hAnsi="Gill Sans MT" w:cs="Open Sans"/>
                <w:i/>
                <w:color w:val="222222"/>
              </w:rPr>
              <w:t>for</w:t>
            </w:r>
            <w:r w:rsidR="006A6592" w:rsidRPr="001D749D">
              <w:rPr>
                <w:rFonts w:ascii="Gill Sans MT" w:eastAsia="Open Sans" w:hAnsi="Gill Sans MT" w:cs="Open Sans"/>
                <w:i/>
                <w:color w:val="222222"/>
              </w:rPr>
              <w:t xml:space="preserve"> on-screen </w:t>
            </w:r>
            <w:r w:rsidR="00A73560" w:rsidRPr="001D749D">
              <w:rPr>
                <w:rFonts w:ascii="Gill Sans MT" w:eastAsia="Open Sans" w:hAnsi="Gill Sans MT" w:cs="Open Sans"/>
                <w:i/>
                <w:color w:val="222222"/>
              </w:rPr>
              <w:t xml:space="preserve">tests, </w:t>
            </w:r>
            <w:r w:rsidR="00DB1FE4" w:rsidRPr="001D749D">
              <w:rPr>
                <w:rFonts w:ascii="Gill Sans MT" w:eastAsia="Open Sans" w:hAnsi="Gill Sans MT" w:cs="Open Sans"/>
                <w:i/>
                <w:color w:val="222222"/>
              </w:rPr>
              <w:t xml:space="preserve">social media </w:t>
            </w:r>
            <w:r w:rsidR="006A6592" w:rsidRPr="001D749D">
              <w:rPr>
                <w:rFonts w:ascii="Gill Sans MT" w:eastAsia="Open Sans" w:hAnsi="Gill Sans MT" w:cs="Open Sans"/>
                <w:i/>
                <w:color w:val="222222"/>
              </w:rPr>
              <w:t>and/or written examinations</w:t>
            </w:r>
            <w:r w:rsidR="00D97482" w:rsidRPr="001D749D">
              <w:rPr>
                <w:rFonts w:ascii="Gill Sans MT" w:eastAsia="Open Sans" w:hAnsi="Gill Sans MT" w:cs="Open Sans"/>
                <w:iCs/>
                <w:color w:val="222222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0379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6A6592" w:rsidRPr="00360DA6" w14:paraId="329AFCC1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9494" w14:textId="77777777" w:rsidR="006A6592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  <w:highlight w:val="white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D3D8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6A6592" w:rsidRPr="00360DA6" w14:paraId="23ED6FFB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588B" w14:textId="77777777" w:rsidR="006A6592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  <w:highlight w:val="white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C3EE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6A6592" w:rsidRPr="00360DA6" w14:paraId="63E1A411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C6F3" w14:textId="77777777" w:rsidR="006A6592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  <w:highlight w:val="white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3F27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6A6592" w:rsidRPr="00360DA6" w14:paraId="058FAD66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0567" w14:textId="77777777" w:rsidR="006A6592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  <w:highlight w:val="white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2978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</w:tbl>
    <w:p w14:paraId="73FBDC7F" w14:textId="77777777" w:rsidR="0022311D" w:rsidRPr="00360DA6" w:rsidRDefault="0022311D">
      <w:pPr>
        <w:rPr>
          <w:rFonts w:ascii="Gill Sans MT" w:hAnsi="Gill Sans MT"/>
        </w:rPr>
      </w:pPr>
    </w:p>
    <w:sectPr w:rsidR="0022311D" w:rsidRPr="00360DA6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D5B4" w14:textId="77777777" w:rsidR="00495E4A" w:rsidRDefault="00495E4A" w:rsidP="00CE0FA1">
      <w:pPr>
        <w:spacing w:line="240" w:lineRule="auto"/>
      </w:pPr>
      <w:r>
        <w:separator/>
      </w:r>
    </w:p>
  </w:endnote>
  <w:endnote w:type="continuationSeparator" w:id="0">
    <w:p w14:paraId="2CC3CC46" w14:textId="77777777" w:rsidR="00495E4A" w:rsidRDefault="00495E4A" w:rsidP="00CE0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281135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0"/>
        <w:szCs w:val="20"/>
      </w:rPr>
    </w:sdtEndPr>
    <w:sdtContent>
      <w:p w14:paraId="091861A5" w14:textId="77777777" w:rsidR="006A6592" w:rsidRPr="006A6592" w:rsidRDefault="006A6592">
        <w:pPr>
          <w:pStyle w:val="Footer"/>
          <w:jc w:val="center"/>
          <w:rPr>
            <w:rFonts w:ascii="Gill Sans MT" w:hAnsi="Gill Sans MT"/>
            <w:sz w:val="20"/>
            <w:szCs w:val="20"/>
          </w:rPr>
        </w:pPr>
        <w:r w:rsidRPr="006A6592">
          <w:rPr>
            <w:rFonts w:ascii="Gill Sans MT" w:hAnsi="Gill Sans MT"/>
            <w:sz w:val="20"/>
            <w:szCs w:val="20"/>
          </w:rPr>
          <w:fldChar w:fldCharType="begin"/>
        </w:r>
        <w:r w:rsidRPr="006A6592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6A6592">
          <w:rPr>
            <w:rFonts w:ascii="Gill Sans MT" w:hAnsi="Gill Sans MT"/>
            <w:sz w:val="20"/>
            <w:szCs w:val="20"/>
          </w:rPr>
          <w:fldChar w:fldCharType="separate"/>
        </w:r>
        <w:r w:rsidR="00106CE9">
          <w:rPr>
            <w:rFonts w:ascii="Gill Sans MT" w:hAnsi="Gill Sans MT"/>
            <w:noProof/>
            <w:sz w:val="20"/>
            <w:szCs w:val="20"/>
          </w:rPr>
          <w:t>1</w:t>
        </w:r>
        <w:r w:rsidRPr="006A6592">
          <w:rPr>
            <w:rFonts w:ascii="Gill Sans MT" w:hAnsi="Gill Sans MT"/>
            <w:noProof/>
            <w:sz w:val="20"/>
            <w:szCs w:val="20"/>
          </w:rPr>
          <w:fldChar w:fldCharType="end"/>
        </w:r>
      </w:p>
    </w:sdtContent>
  </w:sdt>
  <w:p w14:paraId="0766BC2E" w14:textId="14DCBFDF" w:rsidR="00CE0FA1" w:rsidRPr="00106CE9" w:rsidRDefault="00106CE9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Effective from </w:t>
    </w:r>
    <w:r w:rsidR="0083710C" w:rsidRPr="007014F6">
      <w:rPr>
        <w:rFonts w:ascii="Gill Sans MT" w:hAnsi="Gill Sans MT"/>
        <w:sz w:val="20"/>
        <w:szCs w:val="20"/>
      </w:rPr>
      <w:t xml:space="preserve">1 </w:t>
    </w:r>
    <w:r w:rsidR="00453BAA" w:rsidRPr="007014F6">
      <w:rPr>
        <w:rFonts w:ascii="Gill Sans MT" w:hAnsi="Gill Sans MT"/>
        <w:sz w:val="20"/>
        <w:szCs w:val="20"/>
      </w:rPr>
      <w:t>September</w:t>
    </w:r>
    <w:r w:rsidRPr="007014F6">
      <w:rPr>
        <w:rFonts w:ascii="Gill Sans MT" w:hAnsi="Gill Sans MT"/>
        <w:sz w:val="20"/>
        <w:szCs w:val="20"/>
      </w:rPr>
      <w:t xml:space="preserve"> 20</w:t>
    </w:r>
    <w:r w:rsidR="009C226B" w:rsidRPr="007014F6">
      <w:rPr>
        <w:rFonts w:ascii="Gill Sans MT" w:hAnsi="Gill Sans MT"/>
        <w:sz w:val="20"/>
        <w:szCs w:val="20"/>
      </w:rPr>
      <w:t>2</w:t>
    </w:r>
    <w:r w:rsidR="0083710C" w:rsidRPr="007014F6">
      <w:rPr>
        <w:rFonts w:ascii="Gill Sans MT" w:hAnsi="Gill Sans MT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CB50" w14:textId="77777777" w:rsidR="00495E4A" w:rsidRDefault="00495E4A" w:rsidP="00CE0FA1">
      <w:pPr>
        <w:spacing w:line="240" w:lineRule="auto"/>
      </w:pPr>
      <w:r>
        <w:separator/>
      </w:r>
    </w:p>
  </w:footnote>
  <w:footnote w:type="continuationSeparator" w:id="0">
    <w:p w14:paraId="6909567B" w14:textId="77777777" w:rsidR="00495E4A" w:rsidRDefault="00495E4A" w:rsidP="00CE0F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71B"/>
    <w:multiLevelType w:val="multilevel"/>
    <w:tmpl w:val="ABCAF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CB783E"/>
    <w:multiLevelType w:val="multilevel"/>
    <w:tmpl w:val="52585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F20E2D"/>
    <w:multiLevelType w:val="multilevel"/>
    <w:tmpl w:val="F1E23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1D"/>
    <w:rsid w:val="000412BE"/>
    <w:rsid w:val="000D5AED"/>
    <w:rsid w:val="000D7948"/>
    <w:rsid w:val="00106CE9"/>
    <w:rsid w:val="00136AB3"/>
    <w:rsid w:val="00185ADC"/>
    <w:rsid w:val="001D749D"/>
    <w:rsid w:val="0022311D"/>
    <w:rsid w:val="00290349"/>
    <w:rsid w:val="002C00FA"/>
    <w:rsid w:val="00305189"/>
    <w:rsid w:val="00306B24"/>
    <w:rsid w:val="00333EE1"/>
    <w:rsid w:val="0035440B"/>
    <w:rsid w:val="00355A1F"/>
    <w:rsid w:val="00360DA6"/>
    <w:rsid w:val="003D725B"/>
    <w:rsid w:val="00404A28"/>
    <w:rsid w:val="00453BAA"/>
    <w:rsid w:val="00495E4A"/>
    <w:rsid w:val="004C07AB"/>
    <w:rsid w:val="0050136A"/>
    <w:rsid w:val="005363CF"/>
    <w:rsid w:val="00536F5C"/>
    <w:rsid w:val="005B52A8"/>
    <w:rsid w:val="006A6592"/>
    <w:rsid w:val="007014F6"/>
    <w:rsid w:val="00705219"/>
    <w:rsid w:val="00750646"/>
    <w:rsid w:val="00755EAB"/>
    <w:rsid w:val="00835CB0"/>
    <w:rsid w:val="0083710C"/>
    <w:rsid w:val="008B023C"/>
    <w:rsid w:val="008B5FD7"/>
    <w:rsid w:val="00911C09"/>
    <w:rsid w:val="009C226B"/>
    <w:rsid w:val="009C4F96"/>
    <w:rsid w:val="00A02968"/>
    <w:rsid w:val="00A73560"/>
    <w:rsid w:val="00A925F0"/>
    <w:rsid w:val="00AA4422"/>
    <w:rsid w:val="00B80130"/>
    <w:rsid w:val="00CE0FA1"/>
    <w:rsid w:val="00D81AE3"/>
    <w:rsid w:val="00D97482"/>
    <w:rsid w:val="00DB1FE4"/>
    <w:rsid w:val="00DE5DE1"/>
    <w:rsid w:val="00E21646"/>
    <w:rsid w:val="00E347B0"/>
    <w:rsid w:val="00F02212"/>
    <w:rsid w:val="00FC583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9F7CD"/>
  <w15:docId w15:val="{F1D99CAF-7418-407A-9E74-7909BE5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F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A1"/>
  </w:style>
  <w:style w:type="paragraph" w:styleId="Footer">
    <w:name w:val="footer"/>
    <w:basedOn w:val="Normal"/>
    <w:link w:val="FooterChar"/>
    <w:uiPriority w:val="99"/>
    <w:unhideWhenUsed/>
    <w:rsid w:val="00CE0F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A1"/>
  </w:style>
  <w:style w:type="character" w:styleId="SubtleEmphasis">
    <w:name w:val="Subtle Emphasis"/>
    <w:basedOn w:val="DefaultParagraphFont"/>
    <w:uiPriority w:val="19"/>
    <w:qFormat/>
    <w:rsid w:val="00F022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307E-FCC7-49A5-8BE5-793DDD46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Lait</dc:creator>
  <cp:lastModifiedBy>Nick Lait</cp:lastModifiedBy>
  <cp:revision>2</cp:revision>
  <cp:lastPrinted>2019-05-30T10:57:00Z</cp:lastPrinted>
  <dcterms:created xsi:type="dcterms:W3CDTF">2021-07-26T17:46:00Z</dcterms:created>
  <dcterms:modified xsi:type="dcterms:W3CDTF">2021-07-26T17:46:00Z</dcterms:modified>
</cp:coreProperties>
</file>